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DA" w:rsidRDefault="00382EDA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183D" w:rsidRPr="00217D0D" w:rsidRDefault="00697283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5183D" w:rsidRPr="00A43D46" w:rsidRDefault="0005183D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MŚP – </w:t>
      </w:r>
      <w:r w:rsidR="00282DA8">
        <w:rPr>
          <w:rFonts w:ascii="Times New Roman" w:hAnsi="Times New Roman" w:cs="Times New Roman"/>
          <w:b/>
          <w:sz w:val="20"/>
          <w:szCs w:val="20"/>
        </w:rPr>
        <w:t>ZAMAWIAJĄCEGO</w:t>
      </w:r>
    </w:p>
    <w:tbl>
      <w:tblPr>
        <w:tblStyle w:val="Tabela-Siatka"/>
        <w:tblW w:w="5000" w:type="pct"/>
        <w:tblLook w:val="04A0"/>
      </w:tblPr>
      <w:tblGrid>
        <w:gridCol w:w="2465"/>
        <w:gridCol w:w="388"/>
        <w:gridCol w:w="6435"/>
      </w:tblGrid>
      <w:tr w:rsidR="00B2474E" w:rsidRPr="00A43D46" w:rsidTr="00B2474E"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B2474E" w:rsidRPr="00A33B0C" w:rsidRDefault="00B2474E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</w:tc>
        <w:tc>
          <w:tcPr>
            <w:tcW w:w="6823" w:type="dxa"/>
            <w:gridSpan w:val="2"/>
            <w:shd w:val="clear" w:color="auto" w:fill="auto"/>
          </w:tcPr>
          <w:p w:rsidR="00B2474E" w:rsidRPr="006954E8" w:rsidRDefault="00B2474E" w:rsidP="00772716">
            <w:pPr>
              <w:rPr>
                <w:rFonts w:ascii="Times New Roman" w:hAnsi="Times New Roman" w:cs="Times New Roman"/>
              </w:rPr>
            </w:pPr>
            <w:r w:rsidRPr="006954E8">
              <w:rPr>
                <w:rFonts w:ascii="Times New Roman" w:hAnsi="Times New Roman" w:cs="Times New Roman"/>
              </w:rPr>
              <w:t>Sylwia Latkowska</w:t>
            </w:r>
          </w:p>
        </w:tc>
      </w:tr>
      <w:bookmarkEnd w:id="1"/>
      <w:tr w:rsidR="00B2474E" w:rsidRPr="00A43D46" w:rsidTr="00B2474E"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B2474E" w:rsidRPr="00A43D46" w:rsidRDefault="00B2474E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>
              <w:rPr>
                <w:rFonts w:ascii="Times New Roman" w:hAnsi="Times New Roman" w:cs="Times New Roman"/>
                <w:szCs w:val="20"/>
              </w:rPr>
              <w:t>do kontaktu</w:t>
            </w:r>
          </w:p>
        </w:tc>
        <w:tc>
          <w:tcPr>
            <w:tcW w:w="6823" w:type="dxa"/>
            <w:gridSpan w:val="2"/>
            <w:shd w:val="clear" w:color="auto" w:fill="auto"/>
          </w:tcPr>
          <w:p w:rsidR="00B2474E" w:rsidRPr="006954E8" w:rsidRDefault="00B2474E" w:rsidP="00772716">
            <w:pPr>
              <w:rPr>
                <w:rFonts w:ascii="Times New Roman" w:hAnsi="Times New Roman" w:cs="Times New Roman"/>
              </w:rPr>
            </w:pPr>
            <w:r w:rsidRPr="006954E8">
              <w:rPr>
                <w:rFonts w:ascii="Times New Roman" w:hAnsi="Times New Roman" w:cs="Times New Roman"/>
              </w:rPr>
              <w:t>Sylwia Latkowska</w:t>
            </w:r>
          </w:p>
        </w:tc>
      </w:tr>
      <w:tr w:rsidR="00B2474E" w:rsidRPr="00A43D46" w:rsidTr="00B2474E"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B2474E" w:rsidRPr="00A43D46" w:rsidRDefault="00B2474E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823" w:type="dxa"/>
            <w:gridSpan w:val="2"/>
            <w:shd w:val="clear" w:color="auto" w:fill="auto"/>
          </w:tcPr>
          <w:p w:rsidR="00B2474E" w:rsidRPr="006954E8" w:rsidRDefault="00B2474E" w:rsidP="00772716">
            <w:pPr>
              <w:rPr>
                <w:rFonts w:ascii="Times New Roman" w:hAnsi="Times New Roman" w:cs="Times New Roman"/>
              </w:rPr>
            </w:pPr>
            <w:r w:rsidRPr="006954E8">
              <w:rPr>
                <w:rFonts w:ascii="Times New Roman" w:hAnsi="Times New Roman" w:cs="Times New Roman"/>
              </w:rPr>
              <w:t>694 705 990</w:t>
            </w:r>
          </w:p>
        </w:tc>
      </w:tr>
      <w:tr w:rsidR="00B2474E" w:rsidRPr="00A43D46" w:rsidTr="00B2474E">
        <w:tc>
          <w:tcPr>
            <w:tcW w:w="2465" w:type="dxa"/>
            <w:shd w:val="clear" w:color="auto" w:fill="D9D9D9" w:themeFill="background1" w:themeFillShade="D9"/>
            <w:vAlign w:val="center"/>
          </w:tcPr>
          <w:p w:rsidR="00B2474E" w:rsidRPr="00A43D46" w:rsidRDefault="00B2474E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823" w:type="dxa"/>
            <w:gridSpan w:val="2"/>
            <w:shd w:val="clear" w:color="auto" w:fill="auto"/>
          </w:tcPr>
          <w:p w:rsidR="00B2474E" w:rsidRPr="006954E8" w:rsidRDefault="00B2474E" w:rsidP="00772716">
            <w:pPr>
              <w:rPr>
                <w:rFonts w:ascii="Times New Roman" w:hAnsi="Times New Roman" w:cs="Times New Roman"/>
              </w:rPr>
            </w:pPr>
            <w:r w:rsidRPr="006954E8">
              <w:rPr>
                <w:rFonts w:ascii="Times New Roman" w:hAnsi="Times New Roman" w:cs="Times New Roman"/>
              </w:rPr>
              <w:t>s.latkowska34@gmail.com</w:t>
            </w:r>
          </w:p>
        </w:tc>
      </w:tr>
      <w:tr w:rsidR="0005183D" w:rsidRPr="00A43D46" w:rsidTr="00B2474E">
        <w:trPr>
          <w:trHeight w:val="583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:rsidR="0005183D" w:rsidRPr="00AF1EEA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B2474E">
        <w:trPr>
          <w:trHeight w:val="583"/>
        </w:trPr>
        <w:tc>
          <w:tcPr>
            <w:tcW w:w="2853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50"/>
            </w:tblGrid>
            <w:tr w:rsidR="004B3BFD" w:rsidRPr="006954E8">
              <w:trPr>
                <w:trHeight w:val="90"/>
              </w:trPr>
              <w:tc>
                <w:tcPr>
                  <w:tcW w:w="0" w:type="auto"/>
                </w:tcPr>
                <w:p w:rsidR="004B3BFD" w:rsidRPr="006954E8" w:rsidRDefault="00A33B0C" w:rsidP="00B247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54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Świętokrzyskie</w:t>
                  </w:r>
                </w:p>
              </w:tc>
            </w:tr>
          </w:tbl>
          <w:p w:rsidR="0005183D" w:rsidRPr="006954E8" w:rsidRDefault="0005183D" w:rsidP="00B2474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B2474E">
        <w:trPr>
          <w:trHeight w:val="583"/>
        </w:trPr>
        <w:tc>
          <w:tcPr>
            <w:tcW w:w="2853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22"/>
            </w:tblGrid>
            <w:tr w:rsidR="004B3BFD" w:rsidRPr="006954E8">
              <w:trPr>
                <w:trHeight w:val="90"/>
              </w:trPr>
              <w:tc>
                <w:tcPr>
                  <w:tcW w:w="0" w:type="auto"/>
                </w:tcPr>
                <w:p w:rsidR="004B3BFD" w:rsidRPr="006954E8" w:rsidRDefault="004B3BFD" w:rsidP="00B247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54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Sandomierz </w:t>
                  </w:r>
                </w:p>
              </w:tc>
            </w:tr>
          </w:tbl>
          <w:p w:rsidR="0005183D" w:rsidRPr="006954E8" w:rsidRDefault="0005183D" w:rsidP="00B2474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B2474E">
        <w:trPr>
          <w:trHeight w:val="583"/>
        </w:trPr>
        <w:tc>
          <w:tcPr>
            <w:tcW w:w="2853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8B6C36">
              <w:rPr>
                <w:rFonts w:ascii="Times New Roman" w:hAnsi="Times New Roman" w:cs="Times New Roman"/>
                <w:szCs w:val="20"/>
              </w:rPr>
              <w:t xml:space="preserve"> i m</w:t>
            </w:r>
            <w:r w:rsidR="006872E7">
              <w:rPr>
                <w:rFonts w:ascii="Times New Roman" w:hAnsi="Times New Roman" w:cs="Times New Roman"/>
                <w:szCs w:val="20"/>
              </w:rPr>
              <w:t>iejscowość</w:t>
            </w:r>
          </w:p>
        </w:tc>
        <w:tc>
          <w:tcPr>
            <w:tcW w:w="64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8"/>
            </w:tblGrid>
            <w:tr w:rsidR="004B3BFD" w:rsidRPr="006954E8">
              <w:trPr>
                <w:trHeight w:val="90"/>
              </w:trPr>
              <w:tc>
                <w:tcPr>
                  <w:tcW w:w="0" w:type="auto"/>
                </w:tcPr>
                <w:p w:rsidR="004B3BFD" w:rsidRPr="006954E8" w:rsidRDefault="004B3BFD" w:rsidP="00B247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54E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27-600 Sandomierz </w:t>
                  </w:r>
                </w:p>
              </w:tc>
            </w:tr>
          </w:tbl>
          <w:p w:rsidR="0005183D" w:rsidRPr="006954E8" w:rsidRDefault="0005183D" w:rsidP="00B2474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B2474E">
        <w:trPr>
          <w:trHeight w:val="583"/>
        </w:trPr>
        <w:tc>
          <w:tcPr>
            <w:tcW w:w="2853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05183D" w:rsidRPr="006954E8" w:rsidRDefault="00B2474E" w:rsidP="00B2474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954E8">
              <w:rPr>
                <w:rFonts w:ascii="Times New Roman" w:hAnsi="Times New Roman" w:cs="Times New Roman"/>
                <w:szCs w:val="20"/>
              </w:rPr>
              <w:t>Mokoszyńska</w:t>
            </w:r>
            <w:proofErr w:type="spellEnd"/>
          </w:p>
        </w:tc>
      </w:tr>
      <w:tr w:rsidR="0005183D" w:rsidRPr="00A43D46" w:rsidTr="00B2474E">
        <w:trPr>
          <w:trHeight w:val="583"/>
        </w:trPr>
        <w:tc>
          <w:tcPr>
            <w:tcW w:w="2853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05183D" w:rsidRPr="006954E8" w:rsidRDefault="00B2474E" w:rsidP="00B2474E">
            <w:pPr>
              <w:rPr>
                <w:rFonts w:ascii="Times New Roman" w:hAnsi="Times New Roman" w:cs="Times New Roman"/>
                <w:szCs w:val="20"/>
              </w:rPr>
            </w:pPr>
            <w:r w:rsidRPr="006954E8">
              <w:rPr>
                <w:rFonts w:ascii="Times New Roman" w:hAnsi="Times New Roman" w:cs="Times New Roman"/>
                <w:szCs w:val="20"/>
              </w:rPr>
              <w:t>14 lok. 2</w:t>
            </w:r>
          </w:p>
        </w:tc>
      </w:tr>
      <w:tr w:rsidR="0005183D" w:rsidRPr="00A43D46" w:rsidTr="00B2474E">
        <w:trPr>
          <w:trHeight w:val="583"/>
        </w:trPr>
        <w:tc>
          <w:tcPr>
            <w:tcW w:w="2853" w:type="dxa"/>
            <w:gridSpan w:val="2"/>
            <w:shd w:val="clear" w:color="auto" w:fill="D9D9D9" w:themeFill="background1" w:themeFillShade="D9"/>
          </w:tcPr>
          <w:p w:rsidR="0005183D" w:rsidRPr="00A43D46" w:rsidRDefault="0005183D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05183D" w:rsidRPr="006954E8" w:rsidRDefault="00B2474E" w:rsidP="00B2474E">
            <w:pPr>
              <w:rPr>
                <w:rFonts w:ascii="Times New Roman" w:hAnsi="Times New Roman" w:cs="Times New Roman"/>
                <w:szCs w:val="20"/>
              </w:rPr>
            </w:pPr>
            <w:r w:rsidRPr="006954E8">
              <w:rPr>
                <w:rFonts w:ascii="Times New Roman" w:hAnsi="Times New Roman" w:cs="Times New Roman"/>
                <w:szCs w:val="20"/>
              </w:rPr>
              <w:t>8641655733</w:t>
            </w:r>
          </w:p>
        </w:tc>
      </w:tr>
    </w:tbl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282DA8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/>
      </w:tblPr>
      <w:tblGrid>
        <w:gridCol w:w="2465"/>
        <w:gridCol w:w="6823"/>
      </w:tblGrid>
      <w:tr w:rsidR="006872E7" w:rsidRPr="00A43D46" w:rsidTr="006954E8">
        <w:trPr>
          <w:trHeight w:val="204"/>
        </w:trPr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 Przedmiotu Zamówienia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07"/>
            </w:tblGrid>
            <w:tr w:rsidR="004B3BFD" w:rsidRPr="00B2474E" w:rsidTr="00B2474E">
              <w:trPr>
                <w:trHeight w:val="1930"/>
              </w:trPr>
              <w:tc>
                <w:tcPr>
                  <w:tcW w:w="0" w:type="auto"/>
                </w:tcPr>
                <w:p w:rsidR="00D5793E" w:rsidRPr="00B2474E" w:rsidRDefault="004B3BFD" w:rsidP="00B2474E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Przedmiotem zamówienia jest zakup usługi doradczej specjalistycznej - audyt </w:t>
                  </w:r>
                  <w:r w:rsidR="00D5793E" w:rsidRPr="00B2474E">
                    <w:rPr>
                      <w:rFonts w:ascii="Times New Roman" w:hAnsi="Times New Roman" w:cs="Times New Roman"/>
                      <w:sz w:val="20"/>
                    </w:rPr>
                    <w:t>technologiczny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D5793E" w:rsidRPr="00B2474E">
                    <w:rPr>
                      <w:rFonts w:ascii="Times New Roman" w:hAnsi="Times New Roman" w:cs="Times New Roman"/>
                      <w:sz w:val="20"/>
                    </w:rPr>
                    <w:t>–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 mającej na celu </w:t>
                  </w:r>
                  <w:r w:rsidR="00D5793E" w:rsidRPr="00B2474E">
                    <w:rPr>
                      <w:rFonts w:ascii="Times New Roman" w:hAnsi="Times New Roman" w:cs="Times New Roman"/>
                      <w:sz w:val="20"/>
                    </w:rPr>
                    <w:t xml:space="preserve">identyfikację słabych i mocnych stron przedsiębiorstwa, przeprowadzony w oparciu o m.in. ocenę infrastruktury, kluczowe technologie i </w:t>
                  </w:r>
                  <w:proofErr w:type="spellStart"/>
                  <w:r w:rsidR="00D5793E" w:rsidRPr="00B2474E">
                    <w:rPr>
                      <w:rFonts w:ascii="Times New Roman" w:hAnsi="Times New Roman" w:cs="Times New Roman"/>
                      <w:sz w:val="20"/>
                    </w:rPr>
                    <w:t>know-how</w:t>
                  </w:r>
                  <w:proofErr w:type="spellEnd"/>
                  <w:r w:rsidR="00D5793E" w:rsidRPr="00B2474E">
                    <w:rPr>
                      <w:rFonts w:ascii="Times New Roman" w:hAnsi="Times New Roman" w:cs="Times New Roman"/>
                      <w:sz w:val="20"/>
                    </w:rPr>
                    <w:t xml:space="preserve"> firmy. </w:t>
                  </w:r>
                </w:p>
                <w:p w:rsidR="00B2474E" w:rsidRPr="00B2474E" w:rsidRDefault="00B2474E" w:rsidP="00B2474E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Studio treningu personalnego Sylwia Latkowska - </w:t>
                  </w:r>
                  <w:hyperlink r:id="rId7" w:history="1">
                    <w:r w:rsidRPr="00B2474E">
                      <w:rPr>
                        <w:rStyle w:val="Hipercze"/>
                        <w:rFonts w:ascii="Times New Roman" w:hAnsi="Times New Roman" w:cs="Times New Roman"/>
                        <w:sz w:val="20"/>
                      </w:rPr>
                      <w:t>http://sylwialatkowska.pl/</w:t>
                    </w:r>
                  </w:hyperlink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  - rozpoczęło działalność w 2015 roku. Sylwia Latkowska  - Certyfikowany instruktor EMS, TRX, </w:t>
                  </w:r>
                  <w:proofErr w:type="spellStart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>ketllebel</w:t>
                  </w:r>
                  <w:proofErr w:type="spellEnd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, FMS, trener personalny, trener funkcjonalny. SL Studio jako jedyny podmiot posiada sprzęt do treningu EMS w Sandomierzu oraz regionie tj. Tarnobrzeg, Stalowa Wola, Kraśnik, Opatów, Ostrowiec </w:t>
                  </w:r>
                  <w:proofErr w:type="spellStart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>Świętorzyski</w:t>
                  </w:r>
                  <w:proofErr w:type="spellEnd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. W czerwcu 2019 roku studio przeniosło swoją siedzibę z Hotelu Mały Rzym w Sandomierzu do nowego obiektu położonego przy w Sandomierzu przy ul. </w:t>
                  </w:r>
                  <w:proofErr w:type="spellStart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>Milberta</w:t>
                  </w:r>
                  <w:proofErr w:type="spellEnd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 2b. </w:t>
                  </w:r>
                </w:p>
                <w:p w:rsidR="00B2474E" w:rsidRPr="00B2474E" w:rsidRDefault="00B2474E" w:rsidP="00B2474E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B2474E">
                    <w:rPr>
                      <w:rFonts w:ascii="Times New Roman" w:hAnsi="Times New Roman" w:cs="Times New Roman"/>
                      <w:sz w:val="20"/>
                    </w:rPr>
                    <w:t>Wnioskodawca jest obecnie w fazie dynamicznego rozwoju. Ponad rok działalności na rynku sprzedaży usług fitness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(uruchomienie centrum – marzec 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2017 - http://tyna.info.pl/w-sandomierzu-powstalo-studio-treningu-przyszlosci-zdjecia/) przyczyniło się do pozyskania klientów indywidualnych z Sandomierza i regionu (Stalowa Wola, Mielec, Tarnobrzeg), z którymi wnioskodawca prowadzi trening EMS (</w:t>
                  </w:r>
                  <w:proofErr w:type="spellStart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>Electrical</w:t>
                  </w:r>
                  <w:proofErr w:type="spellEnd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>Muscle</w:t>
                  </w:r>
                  <w:proofErr w:type="spellEnd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>Stimulation</w:t>
                  </w:r>
                  <w:proofErr w:type="spellEnd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). Zainteresowanie ofertą trenera personalnego Sylwii Latkowskiej zgłaszane przez klientów z regionu jest większe niż możliwości </w:t>
                  </w:r>
                  <w:proofErr w:type="spellStart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>usługodawcze</w:t>
                  </w:r>
                  <w:proofErr w:type="spellEnd"/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 obecnego zespołu pracowników oraz obecnie posiadanych urządzeń do ćwiczeń fitness w odniesieniu do osób borykających się z problemami ortopedycznymi, urazami oraz w trakcie rehabilitacji. </w:t>
                  </w:r>
                </w:p>
                <w:p w:rsidR="00B2474E" w:rsidRPr="00B2474E" w:rsidRDefault="00B2474E" w:rsidP="00B2474E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SL FIT Sylwia Latkowska, w związku z rozwojem na rynku usług zorientowanych pod kątem turystyki medycznej, planuje uruchomienie projektu  „Centrum Odbudowy Kondycji Fizycznej” dedykowanego osobom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z urazami i ograniczoną sprawnością ruchową z wykorzystaniem innowacyjnych rozwiązań dostępnych na rynku np. analizatora wykorzystującego technologię pomiaru segmentalnej impedancji. </w:t>
                  </w:r>
                </w:p>
                <w:p w:rsidR="004B3BFD" w:rsidRPr="00B2474E" w:rsidRDefault="004B3BFD" w:rsidP="00B2474E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Zakres usługi doradczej – audyt </w:t>
                  </w:r>
                  <w:r w:rsidR="00D5793E" w:rsidRPr="00B2474E">
                    <w:rPr>
                      <w:rFonts w:ascii="Times New Roman" w:hAnsi="Times New Roman" w:cs="Times New Roman"/>
                      <w:sz w:val="20"/>
                    </w:rPr>
                    <w:t>technologiczny</w:t>
                  </w:r>
                </w:p>
                <w:p w:rsidR="00D5793E" w:rsidRPr="00B2474E" w:rsidRDefault="00D5793E" w:rsidP="00B2474E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B2474E">
                    <w:rPr>
                      <w:rFonts w:ascii="Times New Roman" w:hAnsi="Times New Roman" w:cs="Times New Roman"/>
                      <w:sz w:val="20"/>
                    </w:rPr>
                    <w:t>Audyt technologiczny ma wskazać obszary w działalności firmy, które wymagają wsparcia oraz te, które mogą stać się podstawą do dalszego rozwoju firmy</w:t>
                  </w:r>
                  <w:r w:rsidR="00B2474E" w:rsidRPr="00B2474E">
                    <w:rPr>
                      <w:rFonts w:ascii="Times New Roman" w:hAnsi="Times New Roman" w:cs="Times New Roman"/>
                      <w:sz w:val="20"/>
                    </w:rPr>
                    <w:t xml:space="preserve"> na rynku turystyki medycznej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t>. Audyt technologiczny ma również przyczynić się do oceny firmy pod kątem potencjału technologicznego, stosowanych procedur oraz ewentualnych potrzeb. Zakres audytu technologicznego ma obejmować m.in.:</w:t>
                  </w:r>
                </w:p>
                <w:p w:rsidR="00D5793E" w:rsidRPr="00B2474E" w:rsidRDefault="00D5793E" w:rsidP="00B2474E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B2474E">
                    <w:rPr>
                      <w:rFonts w:ascii="Times New Roman" w:hAnsi="Times New Roman" w:cs="Times New Roman"/>
                      <w:sz w:val="20"/>
                    </w:rPr>
                    <w:t>- analizę kluczowych technologii wykorzystywanych w firmie,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br/>
                    <w:t>- analizę źródeł pochodzenia technologii oraz stopnia ich zużycia,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br/>
                    <w:t>- analizę procesu produkcyjnego, istniejących i potencjalnych problemów technologicznych</w:t>
                  </w:r>
                  <w:r w:rsidR="00B2474E" w:rsidRPr="00B2474E">
                    <w:rPr>
                      <w:rFonts w:ascii="Times New Roman" w:hAnsi="Times New Roman" w:cs="Times New Roman"/>
                      <w:sz w:val="20"/>
                    </w:rPr>
                    <w:t xml:space="preserve"> wynikających z posiadanego parku maszyn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br/>
                    <w:t>- analizę funkcjonowania firmy w porównaniu do standardów w branży</w:t>
                  </w:r>
                  <w:r w:rsidR="00B2474E" w:rsidRPr="00B2474E">
                    <w:rPr>
                      <w:rFonts w:ascii="Times New Roman" w:hAnsi="Times New Roman" w:cs="Times New Roman"/>
                      <w:sz w:val="20"/>
                    </w:rPr>
                    <w:t xml:space="preserve"> fitness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br/>
                    <w:t>- analizę potencjału zasobów ludzkich,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br/>
                    <w:t>- analizę profilu technologicznego firmy w porównaniu z konkurencją,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br/>
                    <w:t>- analizę sytuacji ekonomicznej firmy,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br/>
                    <w:t>- inne obszary, uzgadniane indywidualnie. </w:t>
                  </w:r>
                </w:p>
                <w:p w:rsidR="00D5793E" w:rsidRPr="00B2474E" w:rsidRDefault="00D5793E" w:rsidP="00B2474E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Wynikiem audytu ma być raport, w którym przedstawiony jest obecny stan firmy pod kątem jej rozwoju technologicznego, wraz z kierunkami rozwoju przedsiębiorstwa, wnioskami oraz zaleceniami do dalszych działań oraz certyfikat przeprowadzenia audytu. Raport posłuży firmie przy aplikowaniu </w:t>
                  </w:r>
                  <w:r w:rsidR="00B2474E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o dofinansowanie z różnych źródeł, w celu modyfikacji potencjału technologicznego firmy. </w:t>
                  </w:r>
                </w:p>
                <w:p w:rsidR="004B3BFD" w:rsidRPr="00B2474E" w:rsidRDefault="004B3BFD" w:rsidP="00B2474E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Firma przewiduje konieczność poniesienia nakładów inwestycyjnych na środki trwałe i/lub wartości niematerialne i prawne, bezpośrednio związane </w:t>
                  </w:r>
                  <w:r w:rsidR="00A33B0C" w:rsidRPr="00B2474E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t xml:space="preserve">z realizacją usługi doradczej i konieczne do wdrożenia jej efektów. Nakłady te zgodnie z regulaminem nie mogą stanowić więcej niż 40% wartości usługi </w:t>
                  </w:r>
                  <w:r w:rsidRPr="00B2474E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doradczej.</w:t>
                  </w:r>
                </w:p>
              </w:tc>
            </w:tr>
          </w:tbl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Rodzaj zamówienia (typ usługi)</w:t>
            </w:r>
          </w:p>
        </w:tc>
        <w:tc>
          <w:tcPr>
            <w:tcW w:w="6657" w:type="dxa"/>
            <w:shd w:val="clear" w:color="auto" w:fill="auto"/>
          </w:tcPr>
          <w:p w:rsidR="003F03CA" w:rsidRPr="000C7583" w:rsidRDefault="000C7583" w:rsidP="00A33B0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="00A33B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standardowa</w:t>
            </w:r>
            <w:r w:rsidR="00A33B0C">
              <w:rPr>
                <w:rFonts w:ascii="Times New Roman" w:hAnsi="Times New Roman" w:cs="Times New Roman"/>
                <w:b/>
                <w:szCs w:val="20"/>
              </w:rPr>
              <w:t xml:space="preserve"> X </w:t>
            </w:r>
            <w:r w:rsidR="003F03CA" w:rsidRPr="00A33B0C">
              <w:rPr>
                <w:rFonts w:ascii="Times New Roman" w:hAnsi="Times New Roman" w:cs="Times New Roman"/>
                <w:b/>
                <w:szCs w:val="20"/>
                <w:u w:val="single"/>
              </w:rPr>
              <w:t>usługa specjalistyczna</w:t>
            </w:r>
          </w:p>
        </w:tc>
      </w:tr>
      <w:tr w:rsidR="003F03CA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3F03CA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Kod CPV wg Wspólnego Słownika Zamówień)</w:t>
            </w:r>
          </w:p>
          <w:p w:rsidR="003F03CA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4B3BFD" w:rsidRDefault="004B3BFD" w:rsidP="004B3B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79000000-4 – Usługi biznesowe: prawnicze, marketingowe, konsultingowe, rekrutacji, drukowania i zabezpieczania. </w:t>
            </w:r>
          </w:p>
          <w:p w:rsidR="003F03CA" w:rsidRDefault="003F03CA" w:rsidP="003F03CA">
            <w:pPr>
              <w:pStyle w:val="Akapitzlist"/>
              <w:ind w:left="1080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realizacji zamówienia 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4B3BFD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30.09.2021</w:t>
            </w: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2E7" w:rsidRPr="00A43D46" w:rsidRDefault="004B3BFD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09.01.2020 </w:t>
            </w:r>
          </w:p>
        </w:tc>
      </w:tr>
      <w:tr w:rsidR="006872E7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6872E7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657" w:type="dxa"/>
            <w:shd w:val="clear" w:color="auto" w:fill="auto"/>
          </w:tcPr>
          <w:p w:rsidR="004B3BFD" w:rsidRPr="00B2474E" w:rsidRDefault="004B3BFD" w:rsidP="00B2474E">
            <w:pPr>
              <w:rPr>
                <w:rFonts w:ascii="Times New Roman" w:hAnsi="Times New Roman" w:cs="Times New Roman"/>
              </w:rPr>
            </w:pPr>
            <w:r w:rsidRPr="00B2474E">
              <w:rPr>
                <w:rFonts w:ascii="Times New Roman" w:hAnsi="Times New Roman" w:cs="Times New Roman"/>
              </w:rPr>
              <w:t xml:space="preserve">Wersja elektroniczna (email) na adres mailowy: </w:t>
            </w:r>
            <w:r w:rsidR="00B2474E" w:rsidRPr="00B2474E">
              <w:rPr>
                <w:rFonts w:ascii="Times New Roman" w:hAnsi="Times New Roman" w:cs="Times New Roman"/>
              </w:rPr>
              <w:t xml:space="preserve">s.latkowska34@gmail.com </w:t>
            </w:r>
            <w:r w:rsidRPr="00B2474E">
              <w:rPr>
                <w:rFonts w:ascii="Times New Roman" w:hAnsi="Times New Roman" w:cs="Times New Roman"/>
              </w:rPr>
              <w:t xml:space="preserve">lub w wersji papierowej na adres: </w:t>
            </w:r>
            <w:r w:rsidR="00B2474E" w:rsidRPr="00B2474E">
              <w:rPr>
                <w:rFonts w:ascii="Times New Roman" w:hAnsi="Times New Roman" w:cs="Times New Roman"/>
              </w:rPr>
              <w:t>Sylwia Latkowska</w:t>
            </w:r>
            <w:r w:rsidRPr="00B2474E">
              <w:rPr>
                <w:rFonts w:ascii="Times New Roman" w:hAnsi="Times New Roman" w:cs="Times New Roman"/>
              </w:rPr>
              <w:t xml:space="preserve">, ul. </w:t>
            </w:r>
            <w:proofErr w:type="spellStart"/>
            <w:r w:rsidR="00B2474E" w:rsidRPr="00B2474E">
              <w:rPr>
                <w:rFonts w:ascii="Times New Roman" w:hAnsi="Times New Roman" w:cs="Times New Roman"/>
              </w:rPr>
              <w:t>Mokoszyńska</w:t>
            </w:r>
            <w:proofErr w:type="spellEnd"/>
            <w:r w:rsidR="00B2474E" w:rsidRPr="00B2474E">
              <w:rPr>
                <w:rFonts w:ascii="Times New Roman" w:hAnsi="Times New Roman" w:cs="Times New Roman"/>
              </w:rPr>
              <w:t xml:space="preserve"> 14 lok. 2</w:t>
            </w:r>
            <w:r w:rsidRPr="00B2474E">
              <w:rPr>
                <w:rFonts w:ascii="Times New Roman" w:hAnsi="Times New Roman" w:cs="Times New Roman"/>
              </w:rPr>
              <w:t xml:space="preserve">, 27-600 Sandomierz. </w:t>
            </w:r>
          </w:p>
          <w:p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162DE" w:rsidRPr="004162DE" w:rsidRDefault="004162DE" w:rsidP="004162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62DE" w:rsidRDefault="003F03CA" w:rsidP="008B6C36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KRYTERIA DOSTĘPU UMOŻLIWIAJĄCE </w:t>
      </w:r>
      <w:r w:rsidR="00DD2D76">
        <w:rPr>
          <w:rFonts w:ascii="Times New Roman" w:hAnsi="Times New Roman" w:cs="Times New Roman"/>
          <w:b/>
          <w:sz w:val="20"/>
          <w:szCs w:val="20"/>
        </w:rPr>
        <w:t>USŁUGODAWCY</w:t>
      </w:r>
      <w:r>
        <w:rPr>
          <w:rFonts w:ascii="Times New Roman" w:hAnsi="Times New Roman" w:cs="Times New Roman"/>
          <w:b/>
          <w:sz w:val="20"/>
          <w:szCs w:val="20"/>
        </w:rPr>
        <w:t xml:space="preserve"> UDZIAŁ W POSTĘPOWANIU I SPOSÓB OCENY</w:t>
      </w:r>
    </w:p>
    <w:p w:rsidR="004162DE" w:rsidRPr="004162DE" w:rsidRDefault="008B6C36" w:rsidP="004162DE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="00DE6EE7" w:rsidRPr="004162DE">
        <w:rPr>
          <w:rFonts w:ascii="Times New Roman" w:hAnsi="Times New Roman" w:cs="Times New Roman"/>
          <w:bCs/>
          <w:sz w:val="20"/>
          <w:szCs w:val="20"/>
        </w:rPr>
        <w:t>*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4162DE">
        <w:rPr>
          <w:rFonts w:ascii="Times New Roman" w:hAnsi="Times New Roman"/>
          <w:sz w:val="20"/>
          <w:szCs w:val="20"/>
        </w:rPr>
        <w:t xml:space="preserve">: </w:t>
      </w:r>
      <w:r w:rsidR="004162DE" w:rsidRPr="004162D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</w:t>
      </w:r>
      <w:r w:rsidR="004162DE" w:rsidRPr="004162DE">
        <w:rPr>
          <w:rFonts w:ascii="Times New Roman" w:hAnsi="Times New Roman"/>
          <w:sz w:val="20"/>
          <w:szCs w:val="20"/>
        </w:rPr>
        <w:t>;</w:t>
      </w:r>
    </w:p>
    <w:p w:rsidR="00EC2653" w:rsidRDefault="004162DE" w:rsidP="004162DE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782E48">
        <w:rPr>
          <w:rFonts w:ascii="Times New Roman" w:hAnsi="Times New Roman"/>
          <w:sz w:val="20"/>
          <w:szCs w:val="20"/>
        </w:rPr>
        <w:t>platformie internetowej</w:t>
      </w:r>
      <w:r w:rsidR="008B6C36">
        <w:rPr>
          <w:rFonts w:ascii="Times New Roman" w:hAnsi="Times New Roman"/>
          <w:sz w:val="20"/>
          <w:szCs w:val="20"/>
        </w:rPr>
        <w:t>)</w:t>
      </w:r>
    </w:p>
    <w:p w:rsidR="003F03CA" w:rsidRDefault="003F03CA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354"/>
        <w:gridCol w:w="4934"/>
      </w:tblGrid>
      <w:tr w:rsidR="00B65BD8" w:rsidRPr="00A43D46" w:rsidTr="00197DA5">
        <w:trPr>
          <w:trHeight w:val="336"/>
        </w:trPr>
        <w:tc>
          <w:tcPr>
            <w:tcW w:w="4354" w:type="dxa"/>
            <w:shd w:val="clear" w:color="auto" w:fill="BFBFBF" w:themeFill="background1" w:themeFillShade="BF"/>
          </w:tcPr>
          <w:p w:rsidR="00B65BD8" w:rsidRP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 w:rsidR="00B17FDB"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</w:p>
        </w:tc>
        <w:tc>
          <w:tcPr>
            <w:tcW w:w="4934" w:type="dxa"/>
            <w:shd w:val="clear" w:color="auto" w:fill="BFBFBF" w:themeFill="background1" w:themeFillShade="BF"/>
          </w:tcPr>
          <w:p w:rsidR="00B65BD8" w:rsidRPr="00B65BD8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</w:p>
        </w:tc>
      </w:tr>
      <w:tr w:rsidR="00B65BD8" w:rsidRPr="00A43D46" w:rsidTr="00197DA5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2" w:name="_Hlk17269769"/>
            <w:r w:rsidR="00B65BD8">
              <w:rPr>
                <w:rFonts w:ascii="Times New Roman" w:hAnsi="Times New Roman" w:cs="Times New Roman"/>
                <w:szCs w:val="20"/>
              </w:rPr>
              <w:t xml:space="preserve">definicję </w:t>
            </w:r>
            <w:proofErr w:type="spellStart"/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bookmarkStart w:id="3" w:name="_Hlk17269789"/>
            <w:bookmarkEnd w:id="2"/>
            <w:r w:rsidR="00B65BD8">
              <w:rPr>
                <w:rFonts w:ascii="Times New Roman" w:hAnsi="Times New Roman" w:cs="Times New Roman"/>
                <w:szCs w:val="20"/>
              </w:rPr>
              <w:t>określoną</w:t>
            </w:r>
            <w:proofErr w:type="spellEnd"/>
            <w:r w:rsidR="00B65BD8">
              <w:rPr>
                <w:rFonts w:ascii="Times New Roman" w:hAnsi="Times New Roman" w:cs="Times New Roman"/>
                <w:szCs w:val="20"/>
              </w:rPr>
              <w:t xml:space="preserve"> w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B65BD8">
              <w:rPr>
                <w:rFonts w:ascii="Times New Roman" w:hAnsi="Times New Roman" w:cs="Times New Roman"/>
                <w:szCs w:val="20"/>
              </w:rPr>
              <w:t>Regulaminie udzielania voucherów dla przedsiębiorstw</w:t>
            </w:r>
            <w:bookmarkEnd w:id="3"/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:rsidR="00F51FBA" w:rsidRPr="00431954" w:rsidRDefault="00F51FBA" w:rsidP="004319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proofErr w:type="spellStart"/>
            <w:r w:rsidRPr="00272234">
              <w:rPr>
                <w:rFonts w:ascii="Times New Roman" w:eastAsia="Times New Roman" w:hAnsi="Times New Roman"/>
                <w:b/>
                <w:szCs w:val="20"/>
              </w:rPr>
              <w:t>spełnia</w:t>
            </w:r>
            <w:r w:rsidR="004162DE"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proofErr w:type="spellEnd"/>
            <w:r w:rsidR="004162DE"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 w:rsidR="004162DE"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</w:p>
        </w:tc>
      </w:tr>
      <w:tr w:rsidR="00B65BD8" w:rsidRPr="00A43D46" w:rsidTr="00197DA5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DE6EE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proofErr w:type="spellStart"/>
            <w:r w:rsidRPr="00272234">
              <w:rPr>
                <w:rFonts w:ascii="Times New Roman" w:eastAsia="Times New Roman" w:hAnsi="Times New Roman"/>
                <w:b/>
                <w:szCs w:val="20"/>
              </w:rPr>
              <w:t>spełnia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proofErr w:type="spellEnd"/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B65BD8" w:rsidRPr="002D15A7" w:rsidRDefault="002D15A7" w:rsidP="004162DE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</w:p>
        </w:tc>
      </w:tr>
      <w:tr w:rsidR="00B65BD8" w:rsidRPr="00A43D46" w:rsidTr="00197DA5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 od co najmniej 12 miesięcy</w:t>
            </w:r>
          </w:p>
          <w:p w:rsid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proofErr w:type="spellStart"/>
            <w:r w:rsidRPr="00272234">
              <w:rPr>
                <w:rFonts w:ascii="Times New Roman" w:eastAsia="Times New Roman" w:hAnsi="Times New Roman"/>
                <w:b/>
                <w:szCs w:val="20"/>
              </w:rPr>
              <w:t>spełnia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proofErr w:type="spellEnd"/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B65BD8" w:rsidRPr="002D15A7" w:rsidRDefault="002D15A7" w:rsidP="004162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</w:t>
            </w:r>
          </w:p>
        </w:tc>
      </w:tr>
      <w:tr w:rsidR="00B65BD8" w:rsidRPr="00A43D46" w:rsidTr="00197DA5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497B87"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proofErr w:type="spellStart"/>
            <w:r w:rsidRPr="00272234">
              <w:rPr>
                <w:rFonts w:ascii="Times New Roman" w:eastAsia="Times New Roman" w:hAnsi="Times New Roman"/>
                <w:b/>
                <w:szCs w:val="20"/>
              </w:rPr>
              <w:t>spełnia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proofErr w:type="spellEnd"/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</w:t>
            </w:r>
            <w:r w:rsidRPr="00382EDA">
              <w:rPr>
                <w:rFonts w:ascii="Times New Roman" w:eastAsia="Times New Roman" w:hAnsi="Times New Roman"/>
                <w:szCs w:val="20"/>
              </w:rPr>
              <w:t>informacji</w:t>
            </w:r>
            <w:r w:rsidR="005C5DC8">
              <w:rPr>
                <w:rFonts w:ascii="Times New Roman" w:eastAsia="Times New Roman" w:hAnsi="Times New Roman"/>
                <w:szCs w:val="20"/>
              </w:rPr>
              <w:t xml:space="preserve"> w formie </w:t>
            </w:r>
            <w:proofErr w:type="spellStart"/>
            <w:r w:rsidR="005C5DC8">
              <w:rPr>
                <w:rFonts w:ascii="Times New Roman" w:eastAsia="Times New Roman" w:hAnsi="Times New Roman"/>
                <w:szCs w:val="20"/>
              </w:rPr>
              <w:t>oświadczenia</w:t>
            </w:r>
            <w:r>
              <w:rPr>
                <w:rFonts w:ascii="Times New Roman" w:eastAsia="Times New Roman" w:hAnsi="Times New Roman"/>
                <w:szCs w:val="20"/>
              </w:rPr>
              <w:t>złożon</w:t>
            </w:r>
            <w:r w:rsidR="005C5DC8">
              <w:rPr>
                <w:rFonts w:ascii="Times New Roman" w:eastAsia="Times New Roman" w:hAnsi="Times New Roman"/>
                <w:szCs w:val="20"/>
              </w:rPr>
              <w:t>ego</w:t>
            </w:r>
            <w:proofErr w:type="spellEnd"/>
            <w:r>
              <w:rPr>
                <w:rFonts w:ascii="Times New Roman" w:eastAsia="Times New Roman" w:hAnsi="Times New Roman"/>
                <w:szCs w:val="20"/>
              </w:rPr>
              <w:t xml:space="preserve"> przez Podmiot</w:t>
            </w:r>
            <w:r w:rsidR="005C5DC8">
              <w:rPr>
                <w:rFonts w:ascii="Times New Roman" w:eastAsia="Times New Roman" w:hAnsi="Times New Roman"/>
                <w:szCs w:val="20"/>
              </w:rPr>
              <w:t xml:space="preserve">. Informacje mają potwierdzić </w:t>
            </w:r>
            <w:r>
              <w:rPr>
                <w:rFonts w:ascii="Times New Roman" w:eastAsia="Times New Roman" w:hAnsi="Times New Roman"/>
                <w:szCs w:val="20"/>
              </w:rPr>
              <w:t xml:space="preserve"> czy</w:t>
            </w:r>
            <w:r w:rsidR="005C5DC8">
              <w:rPr>
                <w:rFonts w:ascii="Times New Roman" w:eastAsia="Times New Roman" w:hAnsi="Times New Roman"/>
                <w:szCs w:val="20"/>
              </w:rPr>
              <w:t xml:space="preserve"> </w:t>
            </w:r>
            <w:proofErr w:type="spellStart"/>
            <w:r w:rsidR="005C5DC8">
              <w:rPr>
                <w:rFonts w:ascii="Times New Roman" w:eastAsia="Times New Roman" w:hAnsi="Times New Roman"/>
                <w:szCs w:val="20"/>
              </w:rPr>
              <w:t>IOB</w:t>
            </w:r>
            <w:r w:rsidRPr="002D15A7">
              <w:rPr>
                <w:rFonts w:ascii="Times New Roman" w:hAnsi="Times New Roman"/>
                <w:szCs w:val="20"/>
              </w:rPr>
              <w:t>posiada</w:t>
            </w:r>
            <w:proofErr w:type="spellEnd"/>
            <w:r w:rsidRPr="002D15A7">
              <w:rPr>
                <w:rFonts w:ascii="Times New Roman" w:hAnsi="Times New Roman"/>
                <w:szCs w:val="20"/>
              </w:rPr>
              <w:t xml:space="preserve"> osoby </w:t>
            </w:r>
            <w:r w:rsidRPr="002D15A7">
              <w:rPr>
                <w:rFonts w:ascii="Times New Roman" w:hAnsi="Times New Roman"/>
                <w:szCs w:val="20"/>
              </w:rPr>
              <w:lastRenderedPageBreak/>
              <w:t>zdolne do wykonania zamówienia oraz posiada wyposażenie biurowe zapewniające właściwe</w:t>
            </w:r>
            <w:r w:rsidRPr="002D15A7">
              <w:rPr>
                <w:rFonts w:ascii="Times New Roman" w:eastAsia="Times New Roman" w:hAnsi="Times New Roman"/>
                <w:szCs w:val="20"/>
              </w:rPr>
              <w:t xml:space="preserve"> przechowywanie dokumentacji związanej ze świadczeniem usług oraz dysponowanie urządzeniami technicznymi zapewniającymi właściwą obsługę podmiotów korzystających z usług, w szczególności sprzętem komputerowym wraz z oprogramowaniem biurowym</w:t>
            </w:r>
          </w:p>
        </w:tc>
      </w:tr>
      <w:tr w:rsidR="00B65BD8" w:rsidRPr="00A43D46" w:rsidTr="00197DA5">
        <w:tc>
          <w:tcPr>
            <w:tcW w:w="4354" w:type="dxa"/>
            <w:shd w:val="clear" w:color="auto" w:fill="D9D9D9" w:themeFill="background1" w:themeFillShade="D9"/>
          </w:tcPr>
          <w:p w:rsidR="00390E0E" w:rsidRPr="00A43D46" w:rsidRDefault="00DE6EE7" w:rsidP="00390E0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*</w:t>
            </w:r>
            <w:r w:rsidR="00390E0E"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  <w:p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4" w:type="dxa"/>
            <w:shd w:val="clear" w:color="auto" w:fill="auto"/>
          </w:tcPr>
          <w:p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proofErr w:type="spellStart"/>
            <w:r w:rsidRPr="00272234">
              <w:rPr>
                <w:rFonts w:ascii="Times New Roman" w:eastAsia="Times New Roman" w:hAnsi="Times New Roman"/>
                <w:b/>
                <w:szCs w:val="20"/>
              </w:rPr>
              <w:t>spełnia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proofErr w:type="spellEnd"/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B65BD8" w:rsidRPr="00F50432" w:rsidRDefault="00F50432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B65BD8" w:rsidRPr="00A43D46" w:rsidTr="00197DA5">
        <w:tc>
          <w:tcPr>
            <w:tcW w:w="4354" w:type="dxa"/>
            <w:shd w:val="clear" w:color="auto" w:fill="D9D9D9" w:themeFill="background1" w:themeFillShade="D9"/>
          </w:tcPr>
          <w:p w:rsidR="00B65BD8" w:rsidRDefault="00DE6E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660328"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="00660328"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="00660328" w:rsidRPr="00660328">
              <w:rPr>
                <w:rFonts w:ascii="Times New Roman" w:hAnsi="Times New Roman"/>
                <w:szCs w:val="20"/>
              </w:rPr>
              <w:t>w</w:t>
            </w:r>
            <w:r w:rsidR="008B6C36">
              <w:rPr>
                <w:rFonts w:ascii="Times New Roman" w:hAnsi="Times New Roman"/>
                <w:szCs w:val="20"/>
              </w:rPr>
              <w:t> </w:t>
            </w:r>
            <w:r w:rsidR="00660328" w:rsidRPr="00660328">
              <w:rPr>
                <w:rFonts w:ascii="Times New Roman" w:hAnsi="Times New Roman"/>
                <w:szCs w:val="20"/>
              </w:rPr>
              <w:t>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:rsidR="004162DE" w:rsidRPr="00272234" w:rsidRDefault="004162DE" w:rsidP="004162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proofErr w:type="spellStart"/>
            <w:r w:rsidRPr="00272234">
              <w:rPr>
                <w:rFonts w:ascii="Times New Roman" w:eastAsia="Times New Roman" w:hAnsi="Times New Roman"/>
                <w:b/>
                <w:szCs w:val="20"/>
              </w:rPr>
              <w:t>spełnia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proofErr w:type="spellEnd"/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B65BD8" w:rsidRPr="00431954" w:rsidRDefault="00F50432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</w:t>
            </w:r>
            <w:r w:rsidR="00A671CD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  <w:tr w:rsidR="00197DA5" w:rsidRPr="00A43D46" w:rsidTr="003C15B1">
        <w:trPr>
          <w:trHeight w:val="4083"/>
        </w:trPr>
        <w:tc>
          <w:tcPr>
            <w:tcW w:w="4354" w:type="dxa"/>
            <w:shd w:val="clear" w:color="auto" w:fill="D9D9D9" w:themeFill="background1" w:themeFillShade="D9"/>
          </w:tcPr>
          <w:p w:rsidR="00197DA5" w:rsidRDefault="00197DA5" w:rsidP="0043195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*Podmiot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min. 3 usług doradczych na rzecz MŚP oraz co najmniej 2 letnie doświadczenie zawodowe w realizacji inicjatyw skierowanych do </w:t>
            </w:r>
            <w:proofErr w:type="spellStart"/>
            <w:r w:rsidRPr="00660328">
              <w:rPr>
                <w:rFonts w:ascii="Times New Roman" w:hAnsi="Times New Roman"/>
                <w:szCs w:val="20"/>
              </w:rPr>
              <w:t>przedsiębiorców</w:t>
            </w:r>
            <w:r w:rsidRPr="00D264A7">
              <w:rPr>
                <w:rFonts w:ascii="Times New Roman" w:hAnsi="Times New Roman"/>
                <w:szCs w:val="20"/>
              </w:rPr>
              <w:t>i</w:t>
            </w:r>
            <w:proofErr w:type="spellEnd"/>
            <w:r w:rsidRPr="00D264A7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D264A7">
              <w:rPr>
                <w:rFonts w:ascii="Times New Roman" w:hAnsi="Times New Roman"/>
                <w:szCs w:val="20"/>
              </w:rPr>
              <w:t>lub</w:t>
            </w:r>
            <w:r w:rsidRPr="00063900">
              <w:rPr>
                <w:rFonts w:ascii="Times New Roman" w:hAnsi="Times New Roman"/>
                <w:szCs w:val="20"/>
              </w:rPr>
              <w:t>współpracuje</w:t>
            </w:r>
            <w:proofErr w:type="spellEnd"/>
            <w:r w:rsidRPr="00063900">
              <w:rPr>
                <w:rFonts w:ascii="Times New Roman" w:hAnsi="Times New Roman"/>
                <w:szCs w:val="20"/>
              </w:rPr>
              <w:t xml:space="preserve">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:rsidR="00197DA5" w:rsidRPr="00272234" w:rsidRDefault="00197DA5" w:rsidP="004319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proofErr w:type="spellStart"/>
            <w:r w:rsidRPr="00272234">
              <w:rPr>
                <w:rFonts w:ascii="Times New Roman" w:eastAsia="Times New Roman" w:hAnsi="Times New Roman"/>
                <w:b/>
                <w:szCs w:val="20"/>
              </w:rPr>
              <w:t>spełnia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proofErr w:type="spellEnd"/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</w:t>
            </w:r>
            <w:r>
              <w:rPr>
                <w:rFonts w:ascii="Times New Roman" w:eastAsia="Times New Roman" w:hAnsi="Times New Roman"/>
                <w:b/>
                <w:szCs w:val="20"/>
              </w:rPr>
              <w:t>dotyczy</w:t>
            </w:r>
          </w:p>
          <w:p w:rsidR="00197DA5" w:rsidRDefault="00197DA5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Podmiot:</w:t>
            </w:r>
          </w:p>
          <w:p w:rsidR="00197DA5" w:rsidRPr="006210DE" w:rsidRDefault="00197DA5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Na podstawie wykształcenia, doświadczenia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zawodowe</w:t>
            </w:r>
            <w:r>
              <w:rPr>
                <w:rFonts w:ascii="Times New Roman" w:eastAsia="Times New Roman" w:hAnsi="Times New Roman"/>
                <w:szCs w:val="20"/>
              </w:rPr>
              <w:t>go</w:t>
            </w:r>
            <w:r w:rsidRPr="006210DE">
              <w:rPr>
                <w:rFonts w:ascii="Times New Roman" w:eastAsia="Times New Roman" w:hAnsi="Times New Roman"/>
                <w:szCs w:val="20"/>
              </w:rPr>
              <w:t>, w tym zwłaszcza w zakresie wykonywania min. 3 usług doradczych dla MŚP zbieżnych tematycznie z usługą na, którą zapotrzebowanie zgłasza przedsiębiorca,</w:t>
            </w:r>
            <w:r>
              <w:rPr>
                <w:rFonts w:ascii="Times New Roman" w:eastAsia="Times New Roman" w:hAnsi="Times New Roman"/>
                <w:szCs w:val="20"/>
              </w:rPr>
              <w:t xml:space="preserve"> obszary specjalizacji, </w:t>
            </w:r>
            <w:r w:rsidRPr="006210DE">
              <w:rPr>
                <w:rFonts w:ascii="Times New Roman" w:eastAsia="Times New Roman" w:hAnsi="Times New Roman"/>
                <w:szCs w:val="20"/>
              </w:rPr>
              <w:t>kategorie usług jaki</w:t>
            </w:r>
            <w:r>
              <w:rPr>
                <w:rFonts w:ascii="Times New Roman" w:eastAsia="Times New Roman" w:hAnsi="Times New Roman"/>
                <w:szCs w:val="20"/>
              </w:rPr>
              <w:t xml:space="preserve">e będzie świadczyła dana osoba, 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podstawę dysponowania przez </w:t>
            </w:r>
            <w:r>
              <w:rPr>
                <w:rFonts w:ascii="Times New Roman" w:eastAsia="Times New Roman" w:hAnsi="Times New Roman"/>
                <w:szCs w:val="20"/>
              </w:rPr>
              <w:t>Usługodawcę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daną osobą </w:t>
            </w:r>
          </w:p>
          <w:p w:rsidR="00197DA5" w:rsidRPr="006210DE" w:rsidRDefault="00197DA5" w:rsidP="0043195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kursy/szkolenia, </w:t>
            </w:r>
          </w:p>
          <w:p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:rsidR="00197DA5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:rsidR="00197DA5" w:rsidRPr="00A43D46" w:rsidRDefault="00197DA5" w:rsidP="00431954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znajomość języków </w:t>
            </w:r>
            <w:proofErr w:type="spellStart"/>
            <w:r w:rsidRPr="006210DE">
              <w:rPr>
                <w:rFonts w:ascii="Times New Roman" w:eastAsia="Times New Roman" w:hAnsi="Times New Roman"/>
                <w:szCs w:val="20"/>
              </w:rPr>
              <w:t>obcych,itp</w:t>
            </w:r>
            <w:proofErr w:type="spellEnd"/>
            <w:r w:rsidRPr="006210DE">
              <w:rPr>
                <w:rFonts w:ascii="Times New Roman" w:eastAsia="Times New Roman" w:hAnsi="Times New Roman"/>
                <w:szCs w:val="20"/>
              </w:rPr>
              <w:t>.</w:t>
            </w:r>
          </w:p>
        </w:tc>
      </w:tr>
    </w:tbl>
    <w:p w:rsidR="00B65BD8" w:rsidRDefault="00B65BD8" w:rsidP="00431954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5BD8" w:rsidRPr="004162DE" w:rsidRDefault="004162DE" w:rsidP="00416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2DE">
        <w:rPr>
          <w:rFonts w:ascii="Times New Roman" w:hAnsi="Times New Roman"/>
          <w:b/>
          <w:sz w:val="24"/>
          <w:szCs w:val="24"/>
        </w:rPr>
        <w:t>Oświadczamy</w:t>
      </w:r>
      <w:r w:rsidR="00BD1175" w:rsidRPr="004162DE">
        <w:rPr>
          <w:rFonts w:ascii="Times New Roman" w:hAnsi="Times New Roman"/>
          <w:b/>
          <w:sz w:val="24"/>
          <w:szCs w:val="24"/>
        </w:rPr>
        <w:t>, iż ewentualne podwykonawstwo na zrealizowanie zleconej przez MŚP usługi doradczej nie przekroczy 70% kosztów przedmiotu Zamówienia</w:t>
      </w:r>
      <w:r w:rsidRPr="004162DE">
        <w:rPr>
          <w:rFonts w:ascii="Times New Roman" w:hAnsi="Times New Roman"/>
          <w:b/>
          <w:sz w:val="24"/>
          <w:szCs w:val="24"/>
        </w:rPr>
        <w:t>.</w:t>
      </w: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E7FF4" w:rsidRDefault="007E7FF4" w:rsidP="007E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2465"/>
        <w:gridCol w:w="6823"/>
      </w:tblGrid>
      <w:tr w:rsidR="00B85580" w:rsidRPr="00A43D46" w:rsidTr="00B85580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B85580" w:rsidRPr="00B85580" w:rsidRDefault="00B85580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B85580" w:rsidRPr="00A43D46" w:rsidTr="005E5E04">
        <w:tc>
          <w:tcPr>
            <w:tcW w:w="2405" w:type="dxa"/>
            <w:shd w:val="clear" w:color="auto" w:fill="D9D9D9" w:themeFill="background1" w:themeFillShade="D9"/>
          </w:tcPr>
          <w:p w:rsidR="00B85580" w:rsidRPr="00A43D46" w:rsidRDefault="0068787A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:rsidR="00B85580" w:rsidRPr="00A43D46" w:rsidRDefault="00B85580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:rsidR="0068787A" w:rsidRPr="0068787A" w:rsidRDefault="0068787A" w:rsidP="00F06F90">
            <w:pPr>
              <w:pStyle w:val="Akapitzlist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Cena [PLN] (C) –  min. 6</w:t>
            </w:r>
            <w:r w:rsidR="00744BE2">
              <w:rPr>
                <w:rFonts w:ascii="Times New Roman" w:hAnsi="Times New Roman" w:cs="Times New Roman"/>
                <w:b/>
                <w:szCs w:val="20"/>
                <w:u w:val="single"/>
              </w:rPr>
              <w:t>0%</w:t>
            </w:r>
          </w:p>
          <w:p w:rsidR="0068787A" w:rsidRPr="00F06F90" w:rsidRDefault="0068787A" w:rsidP="00F06F9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Cena (C) -  liczba punktów dla każdej ocenianej oferty zostanie wyliczona wg poniższego wzoru, gdzie zaokrąglenia dokonane zostaną z dokładnością do </w:t>
            </w:r>
            <w:r w:rsidRPr="00F06F90">
              <w:rPr>
                <w:rFonts w:ascii="Times New Roman" w:hAnsi="Times New Roman" w:cs="Times New Roman"/>
                <w:szCs w:val="20"/>
              </w:rPr>
              <w:lastRenderedPageBreak/>
              <w:t xml:space="preserve">dwóch miejsc po przecinku (min. 60 </w:t>
            </w:r>
            <w:proofErr w:type="spellStart"/>
            <w:r w:rsidRPr="00F06F90">
              <w:rPr>
                <w:rFonts w:ascii="Times New Roman" w:hAnsi="Times New Roman" w:cs="Times New Roman"/>
                <w:szCs w:val="20"/>
              </w:rPr>
              <w:t>pkt</w:t>
            </w:r>
            <w:proofErr w:type="spellEnd"/>
            <w:r w:rsidRPr="00F06F90">
              <w:rPr>
                <w:rFonts w:ascii="Times New Roman" w:hAnsi="Times New Roman" w:cs="Times New Roman"/>
                <w:szCs w:val="20"/>
              </w:rPr>
              <w:t>):</w:t>
            </w:r>
          </w:p>
          <w:p w:rsidR="0068787A" w:rsidRPr="00F06F90" w:rsidRDefault="0068787A" w:rsidP="00F06F90">
            <w:pPr>
              <w:spacing w:after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min.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  gdzie 1 pkt=1%</m:t>
                </m:r>
              </m:oMath>
            </m:oMathPara>
          </w:p>
          <w:p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„Cena” ;</w:t>
            </w:r>
          </w:p>
          <w:p w:rsidR="0068787A" w:rsidRPr="00F06F90" w:rsidRDefault="001F39E9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:rsidR="00B85580" w:rsidRPr="0068787A" w:rsidRDefault="001F39E9" w:rsidP="008B6C3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68787A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5371"/>
        <w:gridCol w:w="3917"/>
      </w:tblGrid>
      <w:tr w:rsidR="0040096B" w:rsidRPr="00A43D46" w:rsidTr="004017F7">
        <w:trPr>
          <w:trHeight w:val="426"/>
        </w:trPr>
        <w:tc>
          <w:tcPr>
            <w:tcW w:w="5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(decyduje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Zamawiający</w:t>
            </w:r>
            <w:r w:rsidR="00BD1175">
              <w:rPr>
                <w:rFonts w:ascii="Times New Roman" w:hAnsi="Times New Roman" w:cs="Times New Roman"/>
                <w:b/>
                <w:szCs w:val="20"/>
              </w:rPr>
              <w:t>-MŚP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(max 40%)</w:t>
            </w:r>
          </w:p>
        </w:tc>
      </w:tr>
      <w:tr w:rsidR="004017F7" w:rsidRPr="00A43D46" w:rsidTr="004017F7">
        <w:tc>
          <w:tcPr>
            <w:tcW w:w="5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17F7" w:rsidRPr="00A43D46" w:rsidRDefault="004017F7" w:rsidP="007727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:rsidR="004017F7" w:rsidRDefault="004017F7" w:rsidP="007727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017F7" w:rsidRPr="00431954" w:rsidRDefault="004017F7" w:rsidP="007727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0 pkt. 12</w:t>
            </w:r>
            <w:r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31954">
              <w:rPr>
                <w:rFonts w:ascii="Times New Roman" w:hAnsi="Times New Roman"/>
                <w:szCs w:val="20"/>
              </w:rPr>
              <w:t>m-cy</w:t>
            </w:r>
            <w:proofErr w:type="spellEnd"/>
          </w:p>
          <w:p w:rsidR="004017F7" w:rsidRDefault="004017F7" w:rsidP="007727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 1</w:t>
            </w:r>
            <w:r>
              <w:rPr>
                <w:rFonts w:ascii="Times New Roman" w:hAnsi="Times New Roman"/>
                <w:szCs w:val="20"/>
              </w:rPr>
              <w:t>8-24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31954">
              <w:rPr>
                <w:rFonts w:ascii="Times New Roman" w:hAnsi="Times New Roman"/>
                <w:szCs w:val="20"/>
              </w:rPr>
              <w:t>m-cy</w:t>
            </w:r>
            <w:proofErr w:type="spellEnd"/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  <w:p w:rsidR="004017F7" w:rsidRPr="0068787A" w:rsidRDefault="004017F7" w:rsidP="007727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… pkt.</w:t>
            </w:r>
            <w:r w:rsidRPr="00431954">
              <w:rPr>
                <w:rFonts w:ascii="Times New Roman" w:hAnsi="Times New Roman"/>
                <w:szCs w:val="20"/>
              </w:rPr>
              <w:t xml:space="preserve"> powyżej</w:t>
            </w:r>
            <w:r>
              <w:rPr>
                <w:rFonts w:ascii="Times New Roman" w:hAnsi="Times New Roman"/>
                <w:szCs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szCs w:val="20"/>
              </w:rPr>
              <w:t>m-cy</w:t>
            </w:r>
            <w:proofErr w:type="spellEnd"/>
          </w:p>
        </w:tc>
      </w:tr>
      <w:tr w:rsidR="004017F7" w:rsidRPr="004017F7" w:rsidTr="004017F7">
        <w:tc>
          <w:tcPr>
            <w:tcW w:w="5371" w:type="dxa"/>
            <w:tcBorders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4017F7" w:rsidRPr="004017F7" w:rsidRDefault="004017F7" w:rsidP="007727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4017F7">
              <w:rPr>
                <w:rFonts w:ascii="Times New Roman" w:hAnsi="Times New Roman" w:cs="Times New Roman"/>
                <w:b/>
                <w:szCs w:val="20"/>
              </w:rPr>
              <w:t xml:space="preserve">Podmiot posiada doświadczenie w realizacji więcej niż 5 usług doradczych na rzecz MŚP </w:t>
            </w:r>
            <w:r w:rsidRPr="004017F7">
              <w:rPr>
                <w:rFonts w:ascii="Times New Roman" w:hAnsi="Times New Roman"/>
                <w:b/>
                <w:szCs w:val="20"/>
              </w:rPr>
              <w:t>w okresie ostatnich 3 lat lub jeżeli instytucja działa krócej niż 3 lata to w ostatnim okresie działalności</w:t>
            </w:r>
            <w:r w:rsidRPr="004017F7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</w:p>
        </w:tc>
        <w:tc>
          <w:tcPr>
            <w:tcW w:w="391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4017F7" w:rsidRPr="004017F7" w:rsidRDefault="004017F7" w:rsidP="004017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0"/>
              </w:rPr>
            </w:pPr>
            <w:r w:rsidRPr="004017F7">
              <w:rPr>
                <w:rFonts w:ascii="Times New Roman" w:hAnsi="Times New Roman"/>
                <w:b/>
                <w:szCs w:val="20"/>
              </w:rPr>
              <w:t>0 pkt. 5 usług doradczych</w:t>
            </w:r>
          </w:p>
          <w:p w:rsidR="004017F7" w:rsidRPr="004017F7" w:rsidRDefault="004017F7" w:rsidP="004017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20 </w:t>
            </w:r>
            <w:r w:rsidRPr="004017F7">
              <w:rPr>
                <w:rFonts w:ascii="Times New Roman" w:hAnsi="Times New Roman"/>
                <w:b/>
                <w:szCs w:val="20"/>
              </w:rPr>
              <w:t xml:space="preserve">pkt. </w:t>
            </w:r>
            <w:r>
              <w:rPr>
                <w:rFonts w:ascii="Times New Roman" w:hAnsi="Times New Roman"/>
                <w:b/>
                <w:szCs w:val="20"/>
              </w:rPr>
              <w:t>6</w:t>
            </w:r>
            <w:r w:rsidRPr="004017F7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–</w:t>
            </w:r>
            <w:r w:rsidRPr="004017F7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 xml:space="preserve">10 </w:t>
            </w:r>
            <w:r w:rsidRPr="004017F7">
              <w:rPr>
                <w:rFonts w:ascii="Times New Roman" w:hAnsi="Times New Roman"/>
                <w:b/>
                <w:szCs w:val="20"/>
              </w:rPr>
              <w:t>usług doradczych</w:t>
            </w:r>
          </w:p>
          <w:p w:rsidR="004017F7" w:rsidRPr="004017F7" w:rsidRDefault="004017F7" w:rsidP="004017F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40 </w:t>
            </w:r>
            <w:r w:rsidRPr="004017F7">
              <w:rPr>
                <w:rFonts w:ascii="Times New Roman" w:hAnsi="Times New Roman"/>
                <w:b/>
                <w:szCs w:val="20"/>
              </w:rPr>
              <w:t xml:space="preserve">pkt. </w:t>
            </w:r>
            <w:r>
              <w:rPr>
                <w:rFonts w:ascii="Times New Roman" w:hAnsi="Times New Roman"/>
                <w:b/>
                <w:szCs w:val="20"/>
              </w:rPr>
              <w:t>1</w:t>
            </w:r>
            <w:r>
              <w:rPr>
                <w:rFonts w:ascii="Times New Roman" w:hAnsi="Times New Roman"/>
                <w:b/>
                <w:szCs w:val="20"/>
              </w:rPr>
              <w:t>1</w:t>
            </w:r>
            <w:r>
              <w:rPr>
                <w:rFonts w:ascii="Times New Roman" w:hAnsi="Times New Roman"/>
                <w:b/>
                <w:szCs w:val="20"/>
              </w:rPr>
              <w:t xml:space="preserve"> –</w:t>
            </w:r>
            <w:r w:rsidRPr="004017F7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 xml:space="preserve">20 </w:t>
            </w:r>
            <w:r w:rsidRPr="004017F7">
              <w:rPr>
                <w:rFonts w:ascii="Times New Roman" w:hAnsi="Times New Roman"/>
                <w:b/>
                <w:szCs w:val="20"/>
              </w:rPr>
              <w:t>usług doradczych</w:t>
            </w:r>
          </w:p>
        </w:tc>
      </w:tr>
      <w:tr w:rsidR="004017F7" w:rsidRPr="00A43D46" w:rsidTr="004017F7">
        <w:tc>
          <w:tcPr>
            <w:tcW w:w="5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4017F7" w:rsidRDefault="004017F7" w:rsidP="0077271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39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017F7" w:rsidRPr="00431954" w:rsidRDefault="004017F7" w:rsidP="007727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5 usług doradczych tematycznie związanych z przedmiotem zamówienia</w:t>
            </w:r>
          </w:p>
          <w:p w:rsidR="004017F7" w:rsidRDefault="004017F7" w:rsidP="007727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5 - … usług doradczych tematycznie związanych z przedmiotem zamówienia</w:t>
            </w:r>
          </w:p>
          <w:p w:rsidR="004017F7" w:rsidRPr="00431954" w:rsidRDefault="004017F7" w:rsidP="007727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… - … usług doradczych tematycznie związanych z przedmiotem zamówienia</w:t>
            </w:r>
          </w:p>
        </w:tc>
      </w:tr>
      <w:tr w:rsidR="00F0546D" w:rsidRPr="00A43D46" w:rsidTr="004017F7">
        <w:tc>
          <w:tcPr>
            <w:tcW w:w="537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39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0546D" w:rsidRPr="00431954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</w:p>
          <w:p w:rsidR="00F0546D" w:rsidRPr="00F0546D" w:rsidRDefault="00F0546D" w:rsidP="00F0546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świadczy wskazanych usług</w:t>
            </w:r>
          </w:p>
        </w:tc>
      </w:tr>
      <w:tr w:rsidR="00F0546D" w:rsidRPr="00A43D46" w:rsidTr="004017F7">
        <w:tc>
          <w:tcPr>
            <w:tcW w:w="537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8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9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82EDA" w:rsidRPr="00431954" w:rsidRDefault="00382EDA" w:rsidP="00382ED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działa w konsorcju</w:t>
            </w:r>
            <w:r w:rsidR="00A671CD">
              <w:rPr>
                <w:rFonts w:ascii="Times New Roman" w:hAnsi="Times New Roman"/>
                <w:szCs w:val="20"/>
              </w:rPr>
              <w:t>m</w:t>
            </w:r>
          </w:p>
          <w:p w:rsidR="00F0546D" w:rsidRPr="0068787A" w:rsidRDefault="00382EDA" w:rsidP="00382ED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954">
              <w:rPr>
                <w:rFonts w:ascii="Times New Roman" w:hAnsi="Times New Roman"/>
                <w:szCs w:val="20"/>
              </w:rPr>
              <w:t>… pkt.</w:t>
            </w:r>
            <w:r>
              <w:rPr>
                <w:rFonts w:ascii="Times New Roman" w:hAnsi="Times New Roman"/>
                <w:szCs w:val="20"/>
              </w:rPr>
              <w:t xml:space="preserve"> podmiot działa w konsorcjum</w:t>
            </w:r>
            <w:r w:rsidR="00A671CD">
              <w:rPr>
                <w:rFonts w:ascii="Times New Roman" w:hAnsi="Times New Roman"/>
                <w:szCs w:val="20"/>
              </w:rPr>
              <w:t>/ach</w:t>
            </w:r>
            <w:r>
              <w:rPr>
                <w:rFonts w:ascii="Times New Roman" w:hAnsi="Times New Roman"/>
                <w:szCs w:val="20"/>
              </w:rPr>
              <w:t>: …(nazwa)</w:t>
            </w:r>
          </w:p>
        </w:tc>
      </w:tr>
      <w:tr w:rsidR="00F0546D" w:rsidRPr="00A43D46" w:rsidTr="004017F7">
        <w:tc>
          <w:tcPr>
            <w:tcW w:w="537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F0546D" w:rsidRDefault="00F0546D" w:rsidP="00F0546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39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0546D" w:rsidRPr="0068787A" w:rsidRDefault="00F0546D" w:rsidP="00F0546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D652A3" w:rsidRPr="00AA1CF3" w:rsidRDefault="00AA1CF3" w:rsidP="00AA1C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379"/>
      </w:tblGrid>
      <w:tr w:rsidR="00AA1CF3" w:rsidTr="00AA1CF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D16E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Wytyczne do </w:t>
            </w:r>
          </w:p>
          <w:p w:rsidR="00AA1CF3" w:rsidRPr="00AA1CF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nie mogą być udzielane podmiotom powiązanym z nim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</w:t>
            </w:r>
            <w:r w:rsidR="00382E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imieniu Zamawiającego czynności związane z przygotowaniem i</w:t>
            </w:r>
            <w:r w:rsidR="00382E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przeprowadzeniem procedury wyboru wykonawcy, a wykonawcą, polegające w szczególności na:</w:t>
            </w:r>
          </w:p>
          <w:p w:rsidR="00AA1CF3" w:rsidRPr="00AA1CF3" w:rsidRDefault="00AA1CF3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:rsidR="00AA1CF3" w:rsidRPr="00AA1CF3" w:rsidRDefault="00AA1CF3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4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posiadaniu co najmniej 10 % udziałów lub akcji,</w:t>
            </w:r>
          </w:p>
          <w:p w:rsidR="00AA1CF3" w:rsidRDefault="00AA1CF3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AA1CF3" w:rsidRPr="00AA1CF3" w:rsidRDefault="00AA1CF3" w:rsidP="00ED02D0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:rsidR="00382EDA" w:rsidRDefault="00382EDA" w:rsidP="00382EDA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17FDB" w:rsidRDefault="00B17FDB" w:rsidP="00382EDA">
      <w:pPr>
        <w:tabs>
          <w:tab w:val="center" w:pos="5037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82EDA" w:rsidRPr="00E868E9" w:rsidRDefault="00B45141" w:rsidP="00B45141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2EDA" w:rsidRPr="00E868E9">
        <w:rPr>
          <w:rFonts w:ascii="Times New Roman" w:hAnsi="Times New Roman"/>
          <w:sz w:val="24"/>
          <w:szCs w:val="24"/>
        </w:rPr>
        <w:t>………………………………</w:t>
      </w:r>
    </w:p>
    <w:p w:rsidR="00B45141" w:rsidRPr="00B13A21" w:rsidRDefault="00B45141" w:rsidP="00B45141">
      <w:pPr>
        <w:spacing w:after="0" w:line="240" w:lineRule="auto"/>
        <w:ind w:left="496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podpis i pieczątka osoby 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MŚP</w:t>
      </w:r>
    </w:p>
    <w:p w:rsidR="0005183D" w:rsidRPr="007A4715" w:rsidRDefault="0005183D" w:rsidP="00B45141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5183D" w:rsidRPr="007A4715" w:rsidSect="00D445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36" w:rsidRDefault="00B97436" w:rsidP="0005183D">
      <w:pPr>
        <w:spacing w:after="0" w:line="240" w:lineRule="auto"/>
      </w:pPr>
      <w:r>
        <w:separator/>
      </w:r>
    </w:p>
  </w:endnote>
  <w:endnote w:type="continuationSeparator" w:id="0">
    <w:p w:rsidR="00B97436" w:rsidRDefault="00B97436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881448"/>
      <w:docPartObj>
        <w:docPartGallery w:val="Page Numbers (Bottom of Page)"/>
        <w:docPartUnique/>
      </w:docPartObj>
    </w:sdtPr>
    <w:sdtContent>
      <w:p w:rsidR="00D652A3" w:rsidRDefault="001F39E9">
        <w:pPr>
          <w:pStyle w:val="Stopka"/>
          <w:jc w:val="right"/>
        </w:pPr>
        <w:r>
          <w:fldChar w:fldCharType="begin"/>
        </w:r>
        <w:r w:rsidR="00D652A3">
          <w:instrText>PAGE   \* MERGEFORMAT</w:instrText>
        </w:r>
        <w:r>
          <w:fldChar w:fldCharType="separate"/>
        </w:r>
        <w:r w:rsidR="006954E8">
          <w:rPr>
            <w:noProof/>
          </w:rPr>
          <w:t>1</w:t>
        </w:r>
        <w:r>
          <w:fldChar w:fldCharType="end"/>
        </w:r>
      </w:p>
    </w:sdtContent>
  </w:sdt>
  <w:p w:rsidR="00D652A3" w:rsidRDefault="00D652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36" w:rsidRDefault="00B97436" w:rsidP="0005183D">
      <w:pPr>
        <w:spacing w:after="0" w:line="240" w:lineRule="auto"/>
      </w:pPr>
      <w:r>
        <w:separator/>
      </w:r>
    </w:p>
  </w:footnote>
  <w:footnote w:type="continuationSeparator" w:id="0">
    <w:p w:rsidR="00B97436" w:rsidRDefault="00B97436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5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553"/>
      <w:gridCol w:w="1953"/>
      <w:gridCol w:w="2551"/>
    </w:tblGrid>
    <w:tr w:rsidR="00783FB2" w:rsidRPr="00CF2678" w:rsidTr="00450F45">
      <w:tc>
        <w:tcPr>
          <w:tcW w:w="1004" w:type="pct"/>
          <w:tcMar>
            <w:left w:w="0" w:type="dxa"/>
            <w:right w:w="0" w:type="dxa"/>
          </w:tcMar>
        </w:tcPr>
        <w:p w:rsidR="00783FB2" w:rsidRPr="00CF2678" w:rsidRDefault="00783FB2" w:rsidP="00783FB2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:rsidR="00783FB2" w:rsidRPr="00CF2678" w:rsidRDefault="00783FB2" w:rsidP="00783FB2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192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:rsidR="00783FB2" w:rsidRPr="00CF2678" w:rsidRDefault="00783FB2" w:rsidP="00783FB2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</w:tcPr>
        <w:p w:rsidR="00783FB2" w:rsidRPr="00CF2678" w:rsidRDefault="00783FB2" w:rsidP="00783FB2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margin">
                  <wp:posOffset>19050</wp:posOffset>
                </wp:positionV>
                <wp:extent cx="1379220" cy="41148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17D0D" w:rsidRDefault="00A645FC" w:rsidP="00846571">
    <w:pPr>
      <w:pStyle w:val="Nagwek"/>
      <w:jc w:val="center"/>
    </w:pPr>
    <w:r w:rsidRPr="00617BA6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283C83" w:rsidRDefault="00283C83" w:rsidP="00283C83">
    <w:pPr>
      <w:pStyle w:val="Nagwek"/>
    </w:pPr>
  </w:p>
  <w:p w:rsidR="00283C83" w:rsidRPr="00A645FC" w:rsidRDefault="00283C83" w:rsidP="00283C83">
    <w:pPr>
      <w:pStyle w:val="Default"/>
      <w:jc w:val="right"/>
      <w:rPr>
        <w:bCs/>
        <w:i/>
        <w:color w:val="auto"/>
        <w:sz w:val="22"/>
        <w:szCs w:val="22"/>
      </w:rPr>
    </w:pPr>
    <w:r w:rsidRPr="00A645FC">
      <w:rPr>
        <w:i/>
        <w:sz w:val="22"/>
        <w:szCs w:val="22"/>
      </w:rPr>
      <w:t xml:space="preserve">Załącznik nr </w:t>
    </w:r>
    <w:r w:rsidR="00E43F95" w:rsidRPr="00A645FC">
      <w:rPr>
        <w:i/>
        <w:sz w:val="22"/>
        <w:szCs w:val="22"/>
      </w:rPr>
      <w:t>5</w:t>
    </w:r>
    <w:r w:rsidRPr="00A645FC">
      <w:rPr>
        <w:bCs/>
        <w:i/>
        <w:iCs/>
        <w:sz w:val="22"/>
        <w:szCs w:val="22"/>
        <w:lang w:eastAsia="pl-PL"/>
      </w:rPr>
      <w:t xml:space="preserve">do </w:t>
    </w:r>
    <w:r w:rsidRPr="00A645FC">
      <w:rPr>
        <w:bCs/>
        <w:i/>
        <w:color w:val="auto"/>
        <w:sz w:val="22"/>
        <w:szCs w:val="22"/>
      </w:rPr>
      <w:t>Regulaminu udzielania voucherów dla przedsiębiorstw</w:t>
    </w:r>
  </w:p>
  <w:p w:rsidR="00283C83" w:rsidRPr="00A645FC" w:rsidRDefault="00283C83" w:rsidP="00283C83">
    <w:pPr>
      <w:pStyle w:val="Nagwek"/>
      <w:jc w:val="right"/>
      <w:rPr>
        <w:rFonts w:ascii="Times New Roman" w:hAnsi="Times New Roman" w:cs="Times New Roman"/>
        <w:i/>
      </w:rPr>
    </w:pPr>
    <w:r w:rsidRPr="00A645FC">
      <w:rPr>
        <w:rFonts w:ascii="Times New Roman" w:hAnsi="Times New Roman" w:cs="Times New Roman"/>
        <w:i/>
        <w:lang w:eastAsia="pl-PL"/>
      </w:rPr>
      <w:t>„Wzór”</w:t>
    </w:r>
  </w:p>
  <w:p w:rsidR="006C506B" w:rsidRPr="00217D0D" w:rsidRDefault="006C506B" w:rsidP="00283C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05CA35DD"/>
    <w:multiLevelType w:val="multilevel"/>
    <w:tmpl w:val="5C42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DBD"/>
    <w:multiLevelType w:val="multilevel"/>
    <w:tmpl w:val="374E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6"/>
  </w:num>
  <w:num w:numId="7">
    <w:abstractNumId w:val="11"/>
  </w:num>
  <w:num w:numId="8">
    <w:abstractNumId w:val="15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183D"/>
    <w:rsid w:val="0005183D"/>
    <w:rsid w:val="00063900"/>
    <w:rsid w:val="0006613B"/>
    <w:rsid w:val="000C7583"/>
    <w:rsid w:val="000F22F0"/>
    <w:rsid w:val="001650A4"/>
    <w:rsid w:val="00197DA5"/>
    <w:rsid w:val="001F39E9"/>
    <w:rsid w:val="00217D0D"/>
    <w:rsid w:val="00242FD1"/>
    <w:rsid w:val="00260B33"/>
    <w:rsid w:val="00272234"/>
    <w:rsid w:val="00277EFD"/>
    <w:rsid w:val="00282DA8"/>
    <w:rsid w:val="00283C83"/>
    <w:rsid w:val="0028782E"/>
    <w:rsid w:val="002D15A7"/>
    <w:rsid w:val="002E1C4F"/>
    <w:rsid w:val="002E657D"/>
    <w:rsid w:val="002F7B73"/>
    <w:rsid w:val="003425CC"/>
    <w:rsid w:val="003428D0"/>
    <w:rsid w:val="0036469F"/>
    <w:rsid w:val="00382EDA"/>
    <w:rsid w:val="00384BA1"/>
    <w:rsid w:val="00390E0E"/>
    <w:rsid w:val="003C0C48"/>
    <w:rsid w:val="003E401B"/>
    <w:rsid w:val="003E4540"/>
    <w:rsid w:val="003E7FCD"/>
    <w:rsid w:val="003F0385"/>
    <w:rsid w:val="003F03CA"/>
    <w:rsid w:val="0040096B"/>
    <w:rsid w:val="004017F7"/>
    <w:rsid w:val="004162DE"/>
    <w:rsid w:val="004272A2"/>
    <w:rsid w:val="00431954"/>
    <w:rsid w:val="004609EB"/>
    <w:rsid w:val="00497B87"/>
    <w:rsid w:val="004B3BFD"/>
    <w:rsid w:val="00520C77"/>
    <w:rsid w:val="0055446B"/>
    <w:rsid w:val="005A53FE"/>
    <w:rsid w:val="005C5DC8"/>
    <w:rsid w:val="005D3D80"/>
    <w:rsid w:val="005E26C3"/>
    <w:rsid w:val="005E2876"/>
    <w:rsid w:val="005F1989"/>
    <w:rsid w:val="0061420F"/>
    <w:rsid w:val="006210DE"/>
    <w:rsid w:val="00640B2E"/>
    <w:rsid w:val="00660328"/>
    <w:rsid w:val="00662AB6"/>
    <w:rsid w:val="006872E7"/>
    <w:rsid w:val="0068787A"/>
    <w:rsid w:val="006954E8"/>
    <w:rsid w:val="00697283"/>
    <w:rsid w:val="006C506B"/>
    <w:rsid w:val="006D6183"/>
    <w:rsid w:val="00735184"/>
    <w:rsid w:val="00744BE2"/>
    <w:rsid w:val="00782E48"/>
    <w:rsid w:val="00783FB2"/>
    <w:rsid w:val="007A4715"/>
    <w:rsid w:val="007D16E3"/>
    <w:rsid w:val="007E47D2"/>
    <w:rsid w:val="007E7FF4"/>
    <w:rsid w:val="00837EFD"/>
    <w:rsid w:val="00846571"/>
    <w:rsid w:val="0086018D"/>
    <w:rsid w:val="008B6C36"/>
    <w:rsid w:val="008C35CD"/>
    <w:rsid w:val="00971B0F"/>
    <w:rsid w:val="00980D16"/>
    <w:rsid w:val="009A2769"/>
    <w:rsid w:val="00A33B0C"/>
    <w:rsid w:val="00A43D46"/>
    <w:rsid w:val="00A47DFF"/>
    <w:rsid w:val="00A645FC"/>
    <w:rsid w:val="00A671CD"/>
    <w:rsid w:val="00AA1CF3"/>
    <w:rsid w:val="00AF0B07"/>
    <w:rsid w:val="00AF1EEA"/>
    <w:rsid w:val="00B17FDB"/>
    <w:rsid w:val="00B2474E"/>
    <w:rsid w:val="00B43CAA"/>
    <w:rsid w:val="00B45141"/>
    <w:rsid w:val="00B45FD4"/>
    <w:rsid w:val="00B65BD8"/>
    <w:rsid w:val="00B77FF5"/>
    <w:rsid w:val="00B85580"/>
    <w:rsid w:val="00B9034E"/>
    <w:rsid w:val="00B97436"/>
    <w:rsid w:val="00BA79FE"/>
    <w:rsid w:val="00BB4FF9"/>
    <w:rsid w:val="00BD1175"/>
    <w:rsid w:val="00BD38FF"/>
    <w:rsid w:val="00BD40D2"/>
    <w:rsid w:val="00BF2B75"/>
    <w:rsid w:val="00C146D2"/>
    <w:rsid w:val="00C44F12"/>
    <w:rsid w:val="00CC3031"/>
    <w:rsid w:val="00CE1A28"/>
    <w:rsid w:val="00CE3D6B"/>
    <w:rsid w:val="00D264A7"/>
    <w:rsid w:val="00D445CC"/>
    <w:rsid w:val="00D5793E"/>
    <w:rsid w:val="00D652A3"/>
    <w:rsid w:val="00D721F6"/>
    <w:rsid w:val="00D8310B"/>
    <w:rsid w:val="00DB7FAC"/>
    <w:rsid w:val="00DD2D76"/>
    <w:rsid w:val="00DE6EE7"/>
    <w:rsid w:val="00E000B3"/>
    <w:rsid w:val="00E14395"/>
    <w:rsid w:val="00E43F95"/>
    <w:rsid w:val="00E45FC8"/>
    <w:rsid w:val="00E56050"/>
    <w:rsid w:val="00E5696E"/>
    <w:rsid w:val="00E841E2"/>
    <w:rsid w:val="00EC2653"/>
    <w:rsid w:val="00ED02D0"/>
    <w:rsid w:val="00EE0730"/>
    <w:rsid w:val="00F0546D"/>
    <w:rsid w:val="00F06F90"/>
    <w:rsid w:val="00F12E69"/>
    <w:rsid w:val="00F50432"/>
    <w:rsid w:val="00F51FBA"/>
    <w:rsid w:val="00F61DF7"/>
    <w:rsid w:val="00FB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paragraph" w:styleId="Nagwek2">
    <w:name w:val="heading 2"/>
    <w:basedOn w:val="Normalny"/>
    <w:link w:val="Nagwek2Znak"/>
    <w:uiPriority w:val="9"/>
    <w:qFormat/>
    <w:rsid w:val="00D57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28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36"/>
    <w:rPr>
      <w:rFonts w:ascii="Tahoma" w:hAnsi="Tahoma" w:cs="Tahoma"/>
      <w:color w:val="00000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579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lwialatkowsk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Kowalewska, Katarzyna</dc:creator>
  <cp:lastModifiedBy>Krzysztof Tusznio</cp:lastModifiedBy>
  <cp:revision>8</cp:revision>
  <cp:lastPrinted>2019-12-04T07:46:00Z</cp:lastPrinted>
  <dcterms:created xsi:type="dcterms:W3CDTF">2020-01-03T17:29:00Z</dcterms:created>
  <dcterms:modified xsi:type="dcterms:W3CDTF">2020-01-04T15:32:00Z</dcterms:modified>
</cp:coreProperties>
</file>